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D1" w:rsidRPr="00380959" w:rsidRDefault="007E58D1" w:rsidP="007E58D1">
      <w:pPr>
        <w:pStyle w:val="Heading1"/>
        <w:rPr>
          <w:vanish/>
          <w:lang w:val="en-GB"/>
          <w:specVanish/>
        </w:rPr>
      </w:pPr>
      <w:bookmarkStart w:id="0" w:name="_Toc253411956"/>
      <w:bookmarkStart w:id="1" w:name="_Toc369173235"/>
      <w:r>
        <w:t>APPENDIX C:</w:t>
      </w:r>
      <w:r>
        <w:tab/>
        <w:t>BUSINESS ASSOCIATE</w:t>
      </w:r>
      <w:r w:rsidRPr="00F56C3E">
        <w:t xml:space="preserve"> (‘</w:t>
      </w:r>
      <w:r>
        <w:t>BA</w:t>
      </w:r>
      <w:r w:rsidRPr="00F56C3E">
        <w:t>’)</w:t>
      </w:r>
      <w:bookmarkEnd w:id="0"/>
      <w:bookmarkEnd w:id="1"/>
    </w:p>
    <w:p w:rsidR="007E58D1" w:rsidRDefault="007E58D1" w:rsidP="007E58D1">
      <w:pPr>
        <w:pStyle w:val="Heading1"/>
        <w:rPr>
          <w:color w:val="000000"/>
          <w:u w:val="single"/>
        </w:rPr>
      </w:pPr>
      <w:r>
        <w:rPr>
          <w:color w:val="000000"/>
          <w:u w:val="single"/>
        </w:rPr>
        <w:t xml:space="preserve"> </w:t>
      </w:r>
    </w:p>
    <w:p w:rsidR="007E58D1" w:rsidRDefault="007E58D1" w:rsidP="007E58D1">
      <w:pPr>
        <w:pStyle w:val="NormalWeb"/>
        <w:rPr>
          <w:b/>
          <w:color w:val="000000"/>
          <w:u w:val="single"/>
        </w:rPr>
      </w:pPr>
      <w:r w:rsidRPr="00016F30">
        <w:rPr>
          <w:b/>
          <w:color w:val="000000"/>
          <w:u w:val="single"/>
        </w:rPr>
        <w:t>Overview of Due Diligence Conducted</w:t>
      </w:r>
      <w:r>
        <w:rPr>
          <w:b/>
          <w:color w:val="000000"/>
          <w:u w:val="single"/>
        </w:rPr>
        <w:t xml:space="preserve"> for [insert BA name here]</w:t>
      </w:r>
    </w:p>
    <w:p w:rsidR="007E58D1" w:rsidRDefault="007E58D1" w:rsidP="007E58D1">
      <w:pPr>
        <w:pStyle w:val="NormalWeb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[</w:t>
      </w:r>
      <w:proofErr w:type="gramStart"/>
      <w:r>
        <w:rPr>
          <w:b/>
          <w:color w:val="000000"/>
          <w:u w:val="single"/>
        </w:rPr>
        <w:t>insert</w:t>
      </w:r>
      <w:proofErr w:type="gramEnd"/>
      <w:r>
        <w:rPr>
          <w:b/>
          <w:color w:val="000000"/>
          <w:u w:val="single"/>
        </w:rPr>
        <w:t xml:space="preserve"> date here]</w:t>
      </w:r>
    </w:p>
    <w:p w:rsidR="007E58D1" w:rsidRPr="00016F30" w:rsidRDefault="007E58D1" w:rsidP="007E58D1">
      <w:pPr>
        <w:pStyle w:val="NormalWeb"/>
        <w:rPr>
          <w:b/>
          <w:color w:val="000000"/>
          <w:u w:val="single"/>
        </w:rPr>
      </w:pPr>
    </w:p>
    <w:p w:rsidR="007E58D1" w:rsidRPr="00F56C3E" w:rsidRDefault="007E58D1" w:rsidP="007E58D1">
      <w:pPr>
        <w:pStyle w:val="NormalWeb"/>
        <w:rPr>
          <w:color w:val="000000"/>
        </w:rPr>
      </w:pPr>
      <w:r w:rsidRPr="00F56C3E">
        <w:rPr>
          <w:color w:val="000000"/>
        </w:rPr>
        <w:t>The</w:t>
      </w:r>
      <w:r>
        <w:rPr>
          <w:color w:val="000000"/>
        </w:rPr>
        <w:t xml:space="preserve"> due diligence p</w:t>
      </w:r>
      <w:r w:rsidRPr="00F56C3E">
        <w:rPr>
          <w:color w:val="000000"/>
        </w:rPr>
        <w:t>e</w:t>
      </w:r>
      <w:r>
        <w:rPr>
          <w:color w:val="000000"/>
        </w:rPr>
        <w:t>r</w:t>
      </w:r>
      <w:r w:rsidRPr="00F56C3E">
        <w:rPr>
          <w:color w:val="000000"/>
        </w:rPr>
        <w:t xml:space="preserve">formed </w:t>
      </w:r>
      <w:r>
        <w:rPr>
          <w:color w:val="000000"/>
        </w:rPr>
        <w:t xml:space="preserve">on BAs </w:t>
      </w:r>
      <w:r w:rsidRPr="00F56C3E">
        <w:rPr>
          <w:color w:val="000000"/>
        </w:rPr>
        <w:t xml:space="preserve">by </w:t>
      </w:r>
      <w:r>
        <w:rPr>
          <w:color w:val="000000"/>
        </w:rPr>
        <w:t>[Licensee]</w:t>
      </w:r>
      <w:r w:rsidRPr="00F56C3E">
        <w:rPr>
          <w:color w:val="000000"/>
        </w:rPr>
        <w:t xml:space="preserve"> may vary from company to company but overall the following areas are covered in the Company’s due diligence checks:  The differences may vary depending on if the company is publicly traded, privately held, a government controlled agency or currently licensed in a highly regulated gaming jurisdiction</w:t>
      </w:r>
      <w:r>
        <w:rPr>
          <w:color w:val="000000"/>
        </w:rPr>
        <w:t xml:space="preserve">. If the BA is an </w:t>
      </w:r>
      <w:proofErr w:type="spellStart"/>
      <w:r>
        <w:rPr>
          <w:color w:val="000000"/>
        </w:rPr>
        <w:t>Alderney</w:t>
      </w:r>
      <w:proofErr w:type="spellEnd"/>
      <w:r>
        <w:rPr>
          <w:color w:val="000000"/>
        </w:rPr>
        <w:t xml:space="preserve"> licensee, there is no requirement to include due diligence information in the ICS.</w:t>
      </w:r>
    </w:p>
    <w:p w:rsidR="007E58D1" w:rsidRDefault="007E58D1" w:rsidP="007E58D1">
      <w:pPr>
        <w:pStyle w:val="NormalWeb"/>
        <w:rPr>
          <w:color w:val="000000"/>
        </w:rPr>
      </w:pPr>
    </w:p>
    <w:p w:rsidR="007E58D1" w:rsidRDefault="007E58D1" w:rsidP="007E58D1">
      <w:pPr>
        <w:pStyle w:val="NormalWeb"/>
        <w:rPr>
          <w:color w:val="000000"/>
        </w:rPr>
      </w:pPr>
      <w:r w:rsidRPr="00F56C3E">
        <w:rPr>
          <w:color w:val="000000"/>
        </w:rPr>
        <w:t xml:space="preserve">The due diligence summary for </w:t>
      </w:r>
      <w:r>
        <w:rPr>
          <w:color w:val="000000"/>
        </w:rPr>
        <w:t>BA</w:t>
      </w:r>
      <w:r w:rsidRPr="00F56C3E">
        <w:rPr>
          <w:color w:val="000000"/>
        </w:rPr>
        <w:t xml:space="preserve"> is split into two sections 1) Overview of Company history and financial results [if not an </w:t>
      </w:r>
      <w:proofErr w:type="spellStart"/>
      <w:r w:rsidRPr="00F56C3E">
        <w:rPr>
          <w:color w:val="000000"/>
        </w:rPr>
        <w:t>Alderney</w:t>
      </w:r>
      <w:proofErr w:type="spellEnd"/>
      <w:r w:rsidRPr="00F56C3E">
        <w:rPr>
          <w:color w:val="000000"/>
        </w:rPr>
        <w:t xml:space="preserve"> licensee] and 2) Overview of [</w:t>
      </w:r>
      <w:r>
        <w:rPr>
          <w:color w:val="000000"/>
        </w:rPr>
        <w:t>BA</w:t>
      </w:r>
      <w:r w:rsidRPr="00F56C3E">
        <w:rPr>
          <w:color w:val="000000"/>
        </w:rPr>
        <w:t xml:space="preserve">]’s Registration and Verification Process. </w:t>
      </w:r>
    </w:p>
    <w:p w:rsidR="007E58D1" w:rsidRPr="00F56C3E" w:rsidRDefault="007E58D1" w:rsidP="007E58D1">
      <w:pPr>
        <w:pStyle w:val="NormalWeb"/>
        <w:rPr>
          <w:b/>
          <w:color w:val="000000"/>
          <w:u w:val="single"/>
        </w:rPr>
      </w:pPr>
    </w:p>
    <w:p w:rsidR="007E58D1" w:rsidRPr="00380959" w:rsidRDefault="007E58D1" w:rsidP="007E58D1">
      <w:pPr>
        <w:pStyle w:val="Title"/>
        <w:numPr>
          <w:ilvl w:val="4"/>
          <w:numId w:val="1"/>
        </w:numPr>
        <w:tabs>
          <w:tab w:val="clear" w:pos="3960"/>
          <w:tab w:val="num" w:pos="720"/>
        </w:tabs>
        <w:ind w:left="1440" w:hanging="1440"/>
        <w:jc w:val="left"/>
        <w:rPr>
          <w:vanish/>
          <w:color w:val="000000"/>
          <w:specVanish/>
        </w:rPr>
      </w:pPr>
      <w:r>
        <w:rPr>
          <w:color w:val="000000"/>
        </w:rPr>
        <w:t>Overview of [BA]</w:t>
      </w:r>
    </w:p>
    <w:p w:rsidR="007E58D1" w:rsidRPr="00F56C3E" w:rsidRDefault="007E58D1" w:rsidP="007E58D1">
      <w:pPr>
        <w:spacing w:line="360" w:lineRule="auto"/>
        <w:rPr>
          <w:color w:val="000000"/>
        </w:rPr>
      </w:pPr>
      <w:r>
        <w:rPr>
          <w:color w:val="000000"/>
        </w:rPr>
        <w:t xml:space="preserve"> </w:t>
      </w:r>
    </w:p>
    <w:p w:rsidR="007E58D1" w:rsidRDefault="007E58D1" w:rsidP="007E58D1">
      <w:pPr>
        <w:numPr>
          <w:ilvl w:val="0"/>
          <w:numId w:val="3"/>
        </w:numPr>
        <w:spacing w:line="360" w:lineRule="auto"/>
        <w:rPr>
          <w:b/>
        </w:rPr>
      </w:pPr>
      <w:r w:rsidRPr="00745266">
        <w:rPr>
          <w:b/>
        </w:rPr>
        <w:t>General Company Information</w:t>
      </w:r>
    </w:p>
    <w:p w:rsidR="007E58D1" w:rsidRDefault="007E58D1" w:rsidP="007E58D1">
      <w:pPr>
        <w:numPr>
          <w:ilvl w:val="0"/>
          <w:numId w:val="3"/>
        </w:numPr>
        <w:spacing w:line="360" w:lineRule="auto"/>
        <w:rPr>
          <w:b/>
        </w:rPr>
      </w:pPr>
      <w:r w:rsidRPr="00745266">
        <w:rPr>
          <w:b/>
        </w:rPr>
        <w:t>Jurisdiction of Incorporation</w:t>
      </w:r>
    </w:p>
    <w:p w:rsidR="007E58D1" w:rsidRPr="00816BE0" w:rsidRDefault="007E58D1" w:rsidP="007E58D1">
      <w:pPr>
        <w:numPr>
          <w:ilvl w:val="0"/>
          <w:numId w:val="3"/>
        </w:numPr>
        <w:spacing w:line="360" w:lineRule="auto"/>
        <w:rPr>
          <w:b/>
          <w:color w:val="000000"/>
          <w:u w:val="single"/>
        </w:rPr>
      </w:pPr>
      <w:r w:rsidRPr="00104E5A">
        <w:rPr>
          <w:b/>
          <w:color w:val="000000"/>
        </w:rPr>
        <w:t>Income Statement and Balance</w:t>
      </w:r>
      <w:r>
        <w:rPr>
          <w:b/>
          <w:color w:val="000000"/>
        </w:rPr>
        <w:t xml:space="preserve"> sheet</w:t>
      </w:r>
    </w:p>
    <w:p w:rsidR="007E58D1" w:rsidRPr="00745266" w:rsidRDefault="007E58D1" w:rsidP="007E58D1">
      <w:pPr>
        <w:numPr>
          <w:ilvl w:val="0"/>
          <w:numId w:val="3"/>
        </w:numPr>
        <w:spacing w:line="360" w:lineRule="auto"/>
        <w:rPr>
          <w:b/>
        </w:rPr>
      </w:pPr>
      <w:r w:rsidRPr="00745266">
        <w:rPr>
          <w:b/>
        </w:rPr>
        <w:t>Corporate Structure</w:t>
      </w:r>
    </w:p>
    <w:p w:rsidR="007E58D1" w:rsidRDefault="007E58D1" w:rsidP="007E58D1">
      <w:pPr>
        <w:numPr>
          <w:ilvl w:val="0"/>
          <w:numId w:val="3"/>
        </w:numPr>
        <w:spacing w:line="360" w:lineRule="auto"/>
        <w:rPr>
          <w:b/>
        </w:rPr>
      </w:pPr>
      <w:r w:rsidRPr="00745266">
        <w:rPr>
          <w:b/>
        </w:rPr>
        <w:t>S</w:t>
      </w:r>
      <w:r>
        <w:rPr>
          <w:b/>
        </w:rPr>
        <w:t>hare</w:t>
      </w:r>
      <w:r w:rsidRPr="00745266">
        <w:rPr>
          <w:b/>
        </w:rPr>
        <w:t xml:space="preserve"> ownership </w:t>
      </w:r>
    </w:p>
    <w:p w:rsidR="007E58D1" w:rsidRPr="00F56C3E" w:rsidRDefault="007E58D1" w:rsidP="007E58D1">
      <w:pPr>
        <w:numPr>
          <w:ilvl w:val="0"/>
          <w:numId w:val="3"/>
        </w:numPr>
        <w:spacing w:line="360" w:lineRule="auto"/>
        <w:rPr>
          <w:color w:val="000000"/>
        </w:rPr>
      </w:pPr>
      <w:r w:rsidRPr="00104E5A">
        <w:rPr>
          <w:b/>
          <w:color w:val="000000"/>
        </w:rPr>
        <w:t>Officers and Directors of the Company</w:t>
      </w:r>
      <w:r>
        <w:rPr>
          <w:b/>
          <w:color w:val="000000"/>
        </w:rPr>
        <w:t xml:space="preserve"> + Biographies</w:t>
      </w:r>
    </w:p>
    <w:p w:rsidR="007E58D1" w:rsidRPr="00745266" w:rsidRDefault="007E58D1" w:rsidP="007E58D1">
      <w:pPr>
        <w:numPr>
          <w:ilvl w:val="0"/>
          <w:numId w:val="3"/>
        </w:numPr>
        <w:spacing w:line="360" w:lineRule="auto"/>
        <w:rPr>
          <w:b/>
        </w:rPr>
      </w:pPr>
      <w:r w:rsidRPr="00745266">
        <w:rPr>
          <w:b/>
        </w:rPr>
        <w:t>Subsidiaries and Affiliates</w:t>
      </w:r>
    </w:p>
    <w:p w:rsidR="007E58D1" w:rsidRPr="00745266" w:rsidRDefault="007E58D1" w:rsidP="007E58D1">
      <w:pPr>
        <w:numPr>
          <w:ilvl w:val="0"/>
          <w:numId w:val="3"/>
        </w:numPr>
        <w:spacing w:line="360" w:lineRule="auto"/>
        <w:rPr>
          <w:b/>
        </w:rPr>
      </w:pPr>
      <w:r w:rsidRPr="00745266">
        <w:rPr>
          <w:b/>
        </w:rPr>
        <w:t>Business Locations</w:t>
      </w:r>
      <w:r>
        <w:rPr>
          <w:b/>
        </w:rPr>
        <w:t xml:space="preserve"> </w:t>
      </w:r>
    </w:p>
    <w:p w:rsidR="007E58D1" w:rsidRDefault="007E58D1" w:rsidP="007E58D1">
      <w:pPr>
        <w:numPr>
          <w:ilvl w:val="0"/>
          <w:numId w:val="3"/>
        </w:numPr>
        <w:spacing w:line="360" w:lineRule="auto"/>
        <w:rPr>
          <w:b/>
        </w:rPr>
      </w:pPr>
      <w:r w:rsidRPr="00745266">
        <w:rPr>
          <w:b/>
        </w:rPr>
        <w:t>Web site</w:t>
      </w:r>
      <w:r>
        <w:rPr>
          <w:b/>
        </w:rPr>
        <w:t>s</w:t>
      </w:r>
    </w:p>
    <w:p w:rsidR="007E58D1" w:rsidRPr="00816BE0" w:rsidRDefault="007E58D1" w:rsidP="007E58D1">
      <w:pPr>
        <w:numPr>
          <w:ilvl w:val="0"/>
          <w:numId w:val="3"/>
        </w:numPr>
        <w:spacing w:line="360" w:lineRule="auto"/>
        <w:rPr>
          <w:b/>
        </w:rPr>
      </w:pPr>
      <w:r w:rsidRPr="00745266">
        <w:rPr>
          <w:b/>
        </w:rPr>
        <w:t>Gaming Licenses</w:t>
      </w:r>
    </w:p>
    <w:p w:rsidR="007E58D1" w:rsidRPr="00816BE0" w:rsidRDefault="007E58D1" w:rsidP="007E58D1">
      <w:pPr>
        <w:numPr>
          <w:ilvl w:val="0"/>
          <w:numId w:val="3"/>
        </w:numPr>
        <w:spacing w:line="360" w:lineRule="auto"/>
        <w:rPr>
          <w:b/>
        </w:rPr>
      </w:pPr>
      <w:r w:rsidRPr="00745266">
        <w:rPr>
          <w:b/>
        </w:rPr>
        <w:t>Areas of Concern</w:t>
      </w:r>
    </w:p>
    <w:p w:rsidR="007E58D1" w:rsidRDefault="007E58D1" w:rsidP="007E58D1">
      <w:pPr>
        <w:keepNext/>
        <w:tabs>
          <w:tab w:val="num" w:pos="720"/>
        </w:tabs>
        <w:rPr>
          <w:color w:val="000000"/>
        </w:rPr>
      </w:pPr>
    </w:p>
    <w:p w:rsidR="007E58D1" w:rsidRDefault="007E58D1" w:rsidP="007E58D1">
      <w:pPr>
        <w:pStyle w:val="NormalWeb"/>
        <w:rPr>
          <w:b/>
          <w:color w:val="000000"/>
          <w:u w:val="single"/>
        </w:rPr>
      </w:pPr>
    </w:p>
    <w:p w:rsidR="007E58D1" w:rsidRPr="00F56C3E" w:rsidRDefault="007E58D1" w:rsidP="007E58D1">
      <w:pPr>
        <w:pStyle w:val="NormalWeb"/>
        <w:rPr>
          <w:b/>
          <w:color w:val="000000"/>
          <w:u w:val="single"/>
        </w:rPr>
      </w:pPr>
    </w:p>
    <w:p w:rsidR="007E58D1" w:rsidRPr="00016F30" w:rsidRDefault="007E58D1" w:rsidP="007E58D1">
      <w:pPr>
        <w:pStyle w:val="Title"/>
        <w:numPr>
          <w:ilvl w:val="4"/>
          <w:numId w:val="1"/>
        </w:numPr>
        <w:tabs>
          <w:tab w:val="clear" w:pos="3960"/>
          <w:tab w:val="num" w:pos="720"/>
        </w:tabs>
        <w:ind w:left="1440" w:hanging="1440"/>
        <w:jc w:val="left"/>
        <w:rPr>
          <w:color w:val="000000"/>
        </w:rPr>
      </w:pPr>
      <w:r>
        <w:rPr>
          <w:color w:val="000000"/>
        </w:rPr>
        <w:t xml:space="preserve">Overview of [BA]’s </w:t>
      </w:r>
      <w:r w:rsidRPr="00816BE0">
        <w:rPr>
          <w:color w:val="000000"/>
        </w:rPr>
        <w:t>Customer Account Management Process</w:t>
      </w:r>
    </w:p>
    <w:p w:rsidR="007E58D1" w:rsidRPr="00F56C3E" w:rsidRDefault="007E58D1" w:rsidP="007E58D1">
      <w:pPr>
        <w:rPr>
          <w:color w:val="000000"/>
        </w:rPr>
      </w:pPr>
    </w:p>
    <w:p w:rsidR="007E58D1" w:rsidRPr="00F56C3E" w:rsidRDefault="007E58D1" w:rsidP="007E58D1">
      <w:pPr>
        <w:pStyle w:val="NormalWeb"/>
        <w:shd w:val="clear" w:color="auto" w:fill="FFFFFF"/>
        <w:ind w:left="720"/>
        <w:rPr>
          <w:b/>
          <w:color w:val="000000"/>
        </w:rPr>
      </w:pPr>
      <w:r w:rsidRPr="00F56C3E">
        <w:rPr>
          <w:color w:val="000000"/>
        </w:rPr>
        <w:lastRenderedPageBreak/>
        <w:t xml:space="preserve"> [</w:t>
      </w:r>
      <w:r>
        <w:rPr>
          <w:color w:val="000000"/>
        </w:rPr>
        <w:t>Licensee</w:t>
      </w:r>
      <w:r w:rsidRPr="00F56C3E">
        <w:rPr>
          <w:color w:val="000000"/>
        </w:rPr>
        <w:t>]’s games will be offered through [</w:t>
      </w:r>
      <w:r>
        <w:rPr>
          <w:color w:val="000000"/>
        </w:rPr>
        <w:t>BA</w:t>
      </w:r>
      <w:r w:rsidRPr="00F56C3E">
        <w:rPr>
          <w:color w:val="000000"/>
        </w:rPr>
        <w:t xml:space="preserve">] using the following URLs - </w:t>
      </w:r>
    </w:p>
    <w:p w:rsidR="007E58D1" w:rsidRPr="00F56C3E" w:rsidRDefault="007E58D1" w:rsidP="007E58D1">
      <w:pPr>
        <w:widowControl/>
        <w:numPr>
          <w:ilvl w:val="0"/>
          <w:numId w:val="2"/>
        </w:numPr>
        <w:tabs>
          <w:tab w:val="clear" w:pos="2520"/>
          <w:tab w:val="num" w:pos="1440"/>
        </w:tabs>
        <w:autoSpaceDE/>
        <w:autoSpaceDN/>
        <w:ind w:left="1440" w:hanging="720"/>
        <w:rPr>
          <w:color w:val="000000"/>
        </w:rPr>
      </w:pPr>
      <w:r w:rsidRPr="00F56C3E">
        <w:rPr>
          <w:color w:val="000000"/>
        </w:rPr>
        <w:t>[</w:t>
      </w:r>
      <w:r>
        <w:rPr>
          <w:color w:val="000000"/>
        </w:rPr>
        <w:t xml:space="preserve">insert </w:t>
      </w:r>
      <w:r w:rsidRPr="00F56C3E">
        <w:rPr>
          <w:color w:val="000000"/>
        </w:rPr>
        <w:t xml:space="preserve">list of URLs </w:t>
      </w:r>
      <w:r>
        <w:rPr>
          <w:color w:val="000000"/>
        </w:rPr>
        <w:t xml:space="preserve">and other access channels </w:t>
      </w:r>
      <w:r w:rsidRPr="00F56C3E">
        <w:rPr>
          <w:color w:val="000000"/>
        </w:rPr>
        <w:t>here]</w:t>
      </w:r>
    </w:p>
    <w:p w:rsidR="007E58D1" w:rsidRPr="00F56C3E" w:rsidRDefault="007E58D1" w:rsidP="007E58D1">
      <w:pPr>
        <w:widowControl/>
        <w:autoSpaceDE/>
        <w:autoSpaceDN/>
        <w:rPr>
          <w:color w:val="000000"/>
        </w:rPr>
      </w:pPr>
    </w:p>
    <w:p w:rsidR="007E58D1" w:rsidRPr="00F56C3E" w:rsidRDefault="007E58D1" w:rsidP="007E58D1">
      <w:pPr>
        <w:ind w:left="720"/>
        <w:rPr>
          <w:color w:val="000000"/>
        </w:rPr>
      </w:pPr>
      <w:r w:rsidRPr="00F56C3E">
        <w:rPr>
          <w:color w:val="000000"/>
        </w:rPr>
        <w:t>The following sections outline [</w:t>
      </w:r>
      <w:r>
        <w:rPr>
          <w:color w:val="000000"/>
        </w:rPr>
        <w:t>BA</w:t>
      </w:r>
      <w:r w:rsidRPr="00F56C3E">
        <w:rPr>
          <w:color w:val="000000"/>
        </w:rPr>
        <w:t>]’s control process as they pertain to certain sections of [</w:t>
      </w:r>
      <w:r>
        <w:rPr>
          <w:color w:val="000000"/>
        </w:rPr>
        <w:t>Licensee</w:t>
      </w:r>
      <w:r w:rsidRPr="00F56C3E">
        <w:rPr>
          <w:color w:val="000000"/>
        </w:rPr>
        <w:t>]’s Internal Control System [this template only contains a sampling of the sections and the suggested format for the data]:</w:t>
      </w:r>
    </w:p>
    <w:p w:rsidR="007E58D1" w:rsidRPr="00F56C3E" w:rsidRDefault="007E58D1" w:rsidP="007E58D1">
      <w:pPr>
        <w:ind w:left="360"/>
        <w:rPr>
          <w:color w:val="000000"/>
        </w:rPr>
      </w:pPr>
      <w:r w:rsidRPr="00F56C3E">
        <w:rPr>
          <w:color w:val="000000"/>
        </w:rPr>
        <w:t xml:space="preserve"> </w:t>
      </w:r>
    </w:p>
    <w:tbl>
      <w:tblPr>
        <w:tblW w:w="9555" w:type="dxa"/>
        <w:jc w:val="center"/>
        <w:tblInd w:w="108" w:type="dxa"/>
        <w:tblLook w:val="0000" w:firstRow="0" w:lastRow="0" w:firstColumn="0" w:lastColumn="0" w:noHBand="0" w:noVBand="0"/>
      </w:tblPr>
      <w:tblGrid>
        <w:gridCol w:w="3083"/>
        <w:gridCol w:w="2981"/>
        <w:gridCol w:w="3491"/>
      </w:tblGrid>
      <w:tr w:rsidR="007E58D1" w:rsidRPr="00F56C3E" w:rsidTr="00FD5B0D">
        <w:trPr>
          <w:trHeight w:val="69"/>
          <w:jc w:val="center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58D1" w:rsidRPr="00F56C3E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r w:rsidRPr="00F56C3E">
              <w:rPr>
                <w:b/>
                <w:bCs/>
                <w:color w:val="000000"/>
              </w:rPr>
              <w:t>Section From [</w:t>
            </w:r>
            <w:r>
              <w:rPr>
                <w:b/>
                <w:bCs/>
                <w:color w:val="000000"/>
              </w:rPr>
              <w:t>Licensee</w:t>
            </w:r>
            <w:r w:rsidRPr="00F56C3E">
              <w:rPr>
                <w:b/>
                <w:bCs/>
                <w:color w:val="000000"/>
              </w:rPr>
              <w:t>] ICS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F56C3E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r w:rsidRPr="00F56C3E">
              <w:rPr>
                <w:b/>
                <w:bCs/>
                <w:color w:val="000000"/>
              </w:rPr>
              <w:t>Process Conducted by [</w:t>
            </w:r>
            <w:r>
              <w:rPr>
                <w:color w:val="000000"/>
              </w:rPr>
              <w:t>BA</w:t>
            </w:r>
            <w:r w:rsidRPr="00F56C3E">
              <w:rPr>
                <w:b/>
                <w:bCs/>
                <w:color w:val="000000"/>
              </w:rPr>
              <w:t>]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F56C3E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r w:rsidRPr="00F56C3E">
              <w:rPr>
                <w:b/>
                <w:bCs/>
                <w:color w:val="000000"/>
              </w:rPr>
              <w:t>Process Conducted by [</w:t>
            </w:r>
            <w:r>
              <w:rPr>
                <w:b/>
                <w:bCs/>
                <w:color w:val="000000"/>
              </w:rPr>
              <w:t>Licensee</w:t>
            </w:r>
            <w:r w:rsidRPr="00F56C3E">
              <w:rPr>
                <w:b/>
                <w:bCs/>
                <w:color w:val="000000"/>
              </w:rPr>
              <w:t>]</w:t>
            </w:r>
          </w:p>
        </w:tc>
      </w:tr>
      <w:tr w:rsidR="007E58D1" w:rsidRPr="00F56C3E" w:rsidTr="00FD5B0D">
        <w:trPr>
          <w:trHeight w:val="870"/>
          <w:jc w:val="center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F56C3E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Section 1.8</w:t>
            </w:r>
            <w:r w:rsidRPr="00F56C3E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–</w:t>
            </w:r>
            <w:r w:rsidRPr="00F56C3E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Money Laundering and Terrorist Financing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D04411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State which jurisdiction’s AML regime BA adheres to, and confirm that Licensee’s due diligence review has established BA’s AML controls as compliant with Alderney requirements in Schedule 16 of the </w:t>
            </w:r>
            <w:proofErr w:type="spellStart"/>
            <w:r>
              <w:rPr>
                <w:i/>
                <w:color w:val="000000"/>
              </w:rPr>
              <w:t>eGambling</w:t>
            </w:r>
            <w:proofErr w:type="spellEnd"/>
            <w:r>
              <w:rPr>
                <w:i/>
                <w:color w:val="000000"/>
              </w:rPr>
              <w:t xml:space="preserve"> regulations, 2009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D04411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Add reference to Licensee’s AML controls in the ICS</w:t>
            </w:r>
          </w:p>
        </w:tc>
      </w:tr>
      <w:tr w:rsidR="007E58D1" w:rsidRPr="00F56C3E" w:rsidTr="00FD5B0D">
        <w:trPr>
          <w:trHeight w:val="69"/>
          <w:jc w:val="center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58D1" w:rsidRPr="00F56C3E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F56C3E" w:rsidRDefault="007E58D1" w:rsidP="00FD5B0D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F56C3E" w:rsidRDefault="007E58D1" w:rsidP="00FD5B0D">
            <w:pPr>
              <w:widowControl/>
              <w:autoSpaceDE/>
              <w:autoSpaceDN/>
              <w:rPr>
                <w:color w:val="000000"/>
              </w:rPr>
            </w:pPr>
          </w:p>
        </w:tc>
      </w:tr>
      <w:tr w:rsidR="007E58D1" w:rsidRPr="00F56C3E" w:rsidTr="00FD5B0D">
        <w:trPr>
          <w:trHeight w:val="487"/>
          <w:jc w:val="center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3.1.2 – Terms and Conditions</w:t>
            </w:r>
          </w:p>
          <w:p w:rsidR="007E58D1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B36C17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Confirm that Licensee’s due diligence review has established fair BA Terms &amp; Conditions, and add reference to where they can be found </w:t>
            </w:r>
          </w:p>
          <w:p w:rsidR="007E58D1" w:rsidRPr="00B36C17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B36C17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If applicable, confirm that BA Terms &amp; Conditions are complemented by Licensee Terms &amp; Conditions and add reference to Licensee T&amp;Cs in the ICS</w:t>
            </w:r>
            <w:r w:rsidRPr="00B36C17">
              <w:rPr>
                <w:i/>
                <w:color w:val="000000"/>
              </w:rPr>
              <w:t xml:space="preserve"> </w:t>
            </w:r>
          </w:p>
        </w:tc>
      </w:tr>
      <w:tr w:rsidR="007E58D1" w:rsidRPr="00F56C3E" w:rsidTr="00FD5B0D">
        <w:trPr>
          <w:trHeight w:val="191"/>
          <w:jc w:val="center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F56C3E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B36C17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B36C17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</w:p>
        </w:tc>
      </w:tr>
      <w:tr w:rsidR="007E58D1" w:rsidRPr="00F56C3E" w:rsidTr="00FD5B0D">
        <w:trPr>
          <w:trHeight w:val="1077"/>
          <w:jc w:val="center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F56C3E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r w:rsidRPr="00F56C3E">
              <w:rPr>
                <w:b/>
                <w:bCs/>
                <w:color w:val="000000"/>
              </w:rPr>
              <w:t xml:space="preserve">Section </w:t>
            </w:r>
            <w:r>
              <w:rPr>
                <w:b/>
                <w:bCs/>
                <w:color w:val="000000"/>
              </w:rPr>
              <w:t>3.2.1</w:t>
            </w:r>
            <w:r w:rsidRPr="00F56C3E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- Customer Due Diligence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B36C17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Describe the BA processes for verification of new players and </w:t>
            </w:r>
            <w:proofErr w:type="spellStart"/>
            <w:r>
              <w:rPr>
                <w:i/>
                <w:color w:val="000000"/>
              </w:rPr>
              <w:t>ongoing</w:t>
            </w:r>
            <w:proofErr w:type="spellEnd"/>
            <w:r>
              <w:rPr>
                <w:i/>
                <w:color w:val="000000"/>
              </w:rPr>
              <w:t xml:space="preserve"> due diligence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B36C17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If applicable, describe the Licensee’s additional controls for customer due diligence </w:t>
            </w:r>
          </w:p>
          <w:p w:rsidR="007E58D1" w:rsidRPr="00B36C17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  <w:r w:rsidRPr="00B36C17">
              <w:rPr>
                <w:i/>
                <w:color w:val="000000"/>
              </w:rPr>
              <w:t xml:space="preserve"> </w:t>
            </w:r>
          </w:p>
        </w:tc>
      </w:tr>
      <w:tr w:rsidR="007E58D1" w:rsidRPr="00F56C3E" w:rsidTr="00FD5B0D">
        <w:trPr>
          <w:trHeight w:val="257"/>
          <w:jc w:val="center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58D1" w:rsidRPr="00F56C3E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Default="007E58D1" w:rsidP="00FD5B0D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F56C3E" w:rsidRDefault="007E58D1" w:rsidP="00FD5B0D">
            <w:pPr>
              <w:widowControl/>
              <w:autoSpaceDE/>
              <w:autoSpaceDN/>
              <w:rPr>
                <w:color w:val="000000"/>
              </w:rPr>
            </w:pPr>
          </w:p>
        </w:tc>
      </w:tr>
      <w:tr w:rsidR="007E58D1" w:rsidRPr="00F56C3E" w:rsidTr="00FD5B0D">
        <w:trPr>
          <w:trHeight w:val="257"/>
          <w:jc w:val="center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58D1" w:rsidRPr="00F56C3E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r w:rsidRPr="00F56C3E">
              <w:rPr>
                <w:b/>
                <w:bCs/>
                <w:color w:val="000000"/>
              </w:rPr>
              <w:t xml:space="preserve">Section </w:t>
            </w:r>
            <w:r>
              <w:rPr>
                <w:b/>
                <w:bCs/>
                <w:color w:val="000000"/>
              </w:rPr>
              <w:t>3.5</w:t>
            </w:r>
            <w:r w:rsidRPr="00F56C3E">
              <w:rPr>
                <w:b/>
                <w:bCs/>
                <w:color w:val="000000"/>
              </w:rPr>
              <w:t xml:space="preserve"> - </w:t>
            </w:r>
            <w:r>
              <w:rPr>
                <w:b/>
                <w:bCs/>
                <w:color w:val="000000"/>
              </w:rPr>
              <w:t xml:space="preserve">Customers at Risk / Responsible Gambling 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3F379F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  <w:r w:rsidRPr="003F379F">
              <w:rPr>
                <w:i/>
                <w:color w:val="000000"/>
              </w:rPr>
              <w:t>Describe the BA’s controls for detecting and preventing problem gambling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3F379F" w:rsidRDefault="007E58D1" w:rsidP="00FD5B0D">
            <w:pPr>
              <w:widowControl/>
              <w:autoSpaceDE/>
              <w:autoSpaceDN/>
              <w:rPr>
                <w:i/>
                <w:color w:val="000000"/>
              </w:rPr>
            </w:pPr>
            <w:r w:rsidRPr="003F379F">
              <w:rPr>
                <w:i/>
                <w:color w:val="000000"/>
              </w:rPr>
              <w:t xml:space="preserve">Describe the Licensee’s additional controls for detecting and preventing problem gambling  </w:t>
            </w:r>
          </w:p>
        </w:tc>
      </w:tr>
      <w:tr w:rsidR="007E58D1" w:rsidRPr="00F56C3E" w:rsidTr="00FD5B0D">
        <w:trPr>
          <w:trHeight w:val="257"/>
          <w:jc w:val="center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58D1" w:rsidRPr="00F56C3E" w:rsidRDefault="007E58D1" w:rsidP="00FD5B0D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F56C3E" w:rsidRDefault="007E58D1" w:rsidP="00FD5B0D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8D1" w:rsidRPr="00F56C3E" w:rsidRDefault="007E58D1" w:rsidP="00FD5B0D">
            <w:pPr>
              <w:widowControl/>
              <w:autoSpaceDE/>
              <w:autoSpaceDN/>
              <w:rPr>
                <w:color w:val="000000"/>
              </w:rPr>
            </w:pPr>
          </w:p>
        </w:tc>
      </w:tr>
    </w:tbl>
    <w:p w:rsidR="00904D30" w:rsidRDefault="00904D30">
      <w:bookmarkStart w:id="2" w:name="_GoBack"/>
      <w:bookmarkEnd w:id="2"/>
    </w:p>
    <w:sectPr w:rsidR="00904D30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D2" w:rsidRDefault="007E58D1" w:rsidP="00F614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79D2" w:rsidRDefault="007E58D1" w:rsidP="00F614D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D2" w:rsidRDefault="007E58D1" w:rsidP="00F614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A79D2" w:rsidRPr="003F2260" w:rsidRDefault="007E58D1" w:rsidP="00F614DE">
    <w:pPr>
      <w:pStyle w:val="Footer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D2" w:rsidRDefault="007E58D1">
    <w:pPr>
      <w:pStyle w:val="Footer"/>
      <w:jc w:val="right"/>
    </w:pPr>
    <w:r>
      <w:fldChar w:fldCharType="begin"/>
    </w:r>
    <w:r>
      <w:instrText xml:space="preserve"> PAGE   \* MERGEFORMAT</w:instrText>
    </w:r>
    <w:r>
      <w:instrText xml:space="preserve"> </w:instrText>
    </w:r>
    <w:r>
      <w:fldChar w:fldCharType="separate"/>
    </w:r>
    <w:r>
      <w:rPr>
        <w:noProof/>
      </w:rPr>
      <w:t>0</w:t>
    </w:r>
    <w:r>
      <w:rPr>
        <w:noProof/>
      </w:rPr>
      <w:fldChar w:fldCharType="end"/>
    </w:r>
  </w:p>
  <w:p w:rsidR="00BA79D2" w:rsidRDefault="007E58D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D2" w:rsidRPr="00E51248" w:rsidRDefault="007E58D1" w:rsidP="00F614DE">
    <w:pPr>
      <w:pStyle w:val="Header"/>
      <w:jc w:val="right"/>
      <w:rPr>
        <w:b/>
      </w:rPr>
    </w:pPr>
    <w:r>
      <w:rPr>
        <w:b/>
      </w:rPr>
      <w:t>Internal Control System Guidelines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35D3"/>
    <w:multiLevelType w:val="hybridMultilevel"/>
    <w:tmpl w:val="0A1E6C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A16656E"/>
    <w:multiLevelType w:val="hybridMultilevel"/>
    <w:tmpl w:val="A936EA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B88737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43E2C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0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3AE52B7"/>
    <w:multiLevelType w:val="hybridMultilevel"/>
    <w:tmpl w:val="EB5A616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12D616D8">
      <w:start w:val="2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D1"/>
    <w:rsid w:val="007E58D1"/>
    <w:rsid w:val="0090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8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h1 chapter heading"/>
    <w:basedOn w:val="Normal"/>
    <w:next w:val="Normal"/>
    <w:link w:val="Heading1Char"/>
    <w:qFormat/>
    <w:rsid w:val="007E58D1"/>
    <w:pPr>
      <w:jc w:val="both"/>
      <w:outlineLvl w:val="0"/>
    </w:pPr>
    <w:rPr>
      <w:b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pter heading Char"/>
    <w:basedOn w:val="DefaultParagraphFont"/>
    <w:link w:val="Heading1"/>
    <w:rsid w:val="007E58D1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styleId="Header">
    <w:name w:val="header"/>
    <w:basedOn w:val="Normal"/>
    <w:link w:val="HeaderChar"/>
    <w:uiPriority w:val="99"/>
    <w:rsid w:val="007E58D1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7E58D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7E58D1"/>
    <w:pPr>
      <w:tabs>
        <w:tab w:val="center" w:pos="4320"/>
        <w:tab w:val="right" w:pos="8640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7E58D1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PageNumber">
    <w:name w:val="page number"/>
    <w:basedOn w:val="DefaultParagraphFont"/>
    <w:rsid w:val="007E58D1"/>
  </w:style>
  <w:style w:type="paragraph" w:styleId="NormalWeb">
    <w:name w:val="Normal (Web)"/>
    <w:basedOn w:val="Normal"/>
    <w:rsid w:val="007E58D1"/>
    <w:pPr>
      <w:widowControl/>
      <w:autoSpaceDE/>
      <w:autoSpaceDN/>
      <w:spacing w:before="100" w:beforeAutospacing="1" w:after="100" w:afterAutospacing="1"/>
    </w:pPr>
    <w:rPr>
      <w:lang w:val="en-US"/>
    </w:rPr>
  </w:style>
  <w:style w:type="paragraph" w:styleId="Title">
    <w:name w:val="Title"/>
    <w:basedOn w:val="Normal"/>
    <w:link w:val="TitleChar"/>
    <w:qFormat/>
    <w:rsid w:val="007E58D1"/>
    <w:pPr>
      <w:widowControl/>
      <w:autoSpaceDE/>
      <w:autoSpaceDN/>
      <w:jc w:val="center"/>
    </w:pPr>
    <w:rPr>
      <w:b/>
      <w:bCs/>
      <w:lang w:val="en-US"/>
    </w:rPr>
  </w:style>
  <w:style w:type="character" w:customStyle="1" w:styleId="TitleChar">
    <w:name w:val="Title Char"/>
    <w:basedOn w:val="DefaultParagraphFont"/>
    <w:link w:val="Title"/>
    <w:rsid w:val="007E58D1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8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h1 chapter heading"/>
    <w:basedOn w:val="Normal"/>
    <w:next w:val="Normal"/>
    <w:link w:val="Heading1Char"/>
    <w:qFormat/>
    <w:rsid w:val="007E58D1"/>
    <w:pPr>
      <w:jc w:val="both"/>
      <w:outlineLvl w:val="0"/>
    </w:pPr>
    <w:rPr>
      <w:b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pter heading Char"/>
    <w:basedOn w:val="DefaultParagraphFont"/>
    <w:link w:val="Heading1"/>
    <w:rsid w:val="007E58D1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styleId="Header">
    <w:name w:val="header"/>
    <w:basedOn w:val="Normal"/>
    <w:link w:val="HeaderChar"/>
    <w:uiPriority w:val="99"/>
    <w:rsid w:val="007E58D1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7E58D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7E58D1"/>
    <w:pPr>
      <w:tabs>
        <w:tab w:val="center" w:pos="4320"/>
        <w:tab w:val="right" w:pos="8640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7E58D1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PageNumber">
    <w:name w:val="page number"/>
    <w:basedOn w:val="DefaultParagraphFont"/>
    <w:rsid w:val="007E58D1"/>
  </w:style>
  <w:style w:type="paragraph" w:styleId="NormalWeb">
    <w:name w:val="Normal (Web)"/>
    <w:basedOn w:val="Normal"/>
    <w:rsid w:val="007E58D1"/>
    <w:pPr>
      <w:widowControl/>
      <w:autoSpaceDE/>
      <w:autoSpaceDN/>
      <w:spacing w:before="100" w:beforeAutospacing="1" w:after="100" w:afterAutospacing="1"/>
    </w:pPr>
    <w:rPr>
      <w:lang w:val="en-US"/>
    </w:rPr>
  </w:style>
  <w:style w:type="paragraph" w:styleId="Title">
    <w:name w:val="Title"/>
    <w:basedOn w:val="Normal"/>
    <w:link w:val="TitleChar"/>
    <w:qFormat/>
    <w:rsid w:val="007E58D1"/>
    <w:pPr>
      <w:widowControl/>
      <w:autoSpaceDE/>
      <w:autoSpaceDN/>
      <w:jc w:val="center"/>
    </w:pPr>
    <w:rPr>
      <w:b/>
      <w:bCs/>
      <w:lang w:val="en-US"/>
    </w:rPr>
  </w:style>
  <w:style w:type="character" w:customStyle="1" w:styleId="TitleChar">
    <w:name w:val="Title Char"/>
    <w:basedOn w:val="DefaultParagraphFont"/>
    <w:link w:val="Title"/>
    <w:rsid w:val="007E58D1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AGCC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Sanders</dc:creator>
  <cp:lastModifiedBy>Lisa Sanders</cp:lastModifiedBy>
  <cp:revision>1</cp:revision>
  <dcterms:created xsi:type="dcterms:W3CDTF">2013-10-10T14:12:00Z</dcterms:created>
  <dcterms:modified xsi:type="dcterms:W3CDTF">2013-10-10T14:12:00Z</dcterms:modified>
</cp:coreProperties>
</file>